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273EDC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乌海市统计“入库纳统”工作指南</w:t>
      </w:r>
    </w:p>
    <w:p w14:paraId="5920220C">
      <w:pPr>
        <w:snapToGrid w:val="0"/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 w14:paraId="5949B25E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 xml:space="preserve">一、什么是“入库纳统”？     </w:t>
      </w:r>
    </w:p>
    <w:p w14:paraId="6B743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入库纳统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指的是达到一定规模、资质或限额的单位，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根据《中华人民共和国统计法》及相关规定，纳入统计部门“一套表”统计范围的调查单位，并按照国家统一标准和要求，通过联网直报系统直接向国家数据平台报送统计数据。</w:t>
      </w:r>
    </w:p>
    <w:p w14:paraId="6DE61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 xml:space="preserve">二、“入库纳统”的标准是什么？ </w:t>
      </w:r>
    </w:p>
    <w:p w14:paraId="1E501681"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行业不同，入库的标准也不同。</w:t>
      </w:r>
    </w:p>
    <w:p w14:paraId="1D6E7989"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（一）工业：</w:t>
      </w:r>
      <w:r>
        <w:rPr>
          <w:rFonts w:ascii="Times New Roman" w:hAnsi="Times New Roman" w:eastAsia="仿宋_GB2312" w:cs="Times New Roman"/>
          <w:sz w:val="32"/>
          <w:szCs w:val="32"/>
        </w:rPr>
        <w:t>年主营业务收入2000万元及以上的工业法人单位及个体经营户。</w:t>
      </w:r>
    </w:p>
    <w:p w14:paraId="6EA33200"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（二）</w:t>
      </w:r>
      <w:r>
        <w:rPr>
          <w:rFonts w:ascii="楷体_GB2312" w:hAnsi="Times New Roman" w:eastAsia="楷体_GB2312" w:cs="Times New Roman"/>
          <w:sz w:val="32"/>
          <w:szCs w:val="32"/>
        </w:rPr>
        <w:t>批发和零售业、住宿和餐饮业：</w:t>
      </w:r>
      <w:r>
        <w:rPr>
          <w:rFonts w:ascii="Times New Roman" w:hAnsi="Times New Roman" w:eastAsia="仿宋_GB2312" w:cs="Times New Roman"/>
          <w:sz w:val="32"/>
          <w:szCs w:val="32"/>
        </w:rPr>
        <w:t>年主营业务收入2000万元及以上的批发业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</w:t>
      </w:r>
      <w:r>
        <w:rPr>
          <w:rFonts w:ascii="Times New Roman" w:hAnsi="Times New Roman" w:eastAsia="仿宋_GB2312" w:cs="Times New Roman"/>
          <w:sz w:val="32"/>
          <w:szCs w:val="32"/>
        </w:rPr>
        <w:t>；年主营业务收入500万元及以上的零售业单位；年主营业务收入200万元及以上的住宿和餐饮业单位。</w:t>
      </w:r>
    </w:p>
    <w:p w14:paraId="0729C0A2"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（三）</w:t>
      </w:r>
      <w:r>
        <w:rPr>
          <w:rFonts w:ascii="楷体_GB2312" w:hAnsi="Times New Roman" w:eastAsia="楷体_GB2312" w:cs="Times New Roman"/>
          <w:sz w:val="32"/>
          <w:szCs w:val="32"/>
        </w:rPr>
        <w:t>服务业：</w:t>
      </w:r>
      <w:r>
        <w:rPr>
          <w:rFonts w:ascii="Times New Roman" w:hAnsi="Times New Roman" w:eastAsia="仿宋_GB2312" w:cs="Times New Roman"/>
          <w:sz w:val="32"/>
          <w:szCs w:val="32"/>
        </w:rPr>
        <w:t>年营业收入2000万元及以上服务业法人单位，包括：交通运输、仓储和邮政业，信息传输、软件和信息技术服务业，水利、环境和公共设施管理业三个门类和卫生行业大类；年营业收入1000万元及以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上</w:t>
      </w:r>
      <w:r>
        <w:rPr>
          <w:rFonts w:ascii="Times New Roman" w:hAnsi="Times New Roman" w:eastAsia="仿宋_GB2312" w:cs="Times New Roman"/>
          <w:sz w:val="32"/>
          <w:szCs w:val="32"/>
        </w:rPr>
        <w:t>服务业法人单位，包括：租赁和商务服务业，科学研究和技术服务业，教育三个门类，以及物业管理、房地产中介服务、房地产租赁经营和其他房地产业四个行业小类；年营业收入500万元及以上服务业法人单位，包括：居民服务、修理和其他服务业，文化、体育和娱乐业两个门类，以及社会工作行业大类。</w:t>
      </w:r>
    </w:p>
    <w:p w14:paraId="184EA63C"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（四）</w:t>
      </w:r>
      <w:r>
        <w:rPr>
          <w:rFonts w:ascii="楷体_GB2312" w:hAnsi="Times New Roman" w:eastAsia="楷体_GB2312" w:cs="Times New Roman"/>
          <w:sz w:val="32"/>
          <w:szCs w:val="32"/>
        </w:rPr>
        <w:t>建筑业：</w:t>
      </w:r>
      <w:r>
        <w:rPr>
          <w:rFonts w:ascii="Times New Roman" w:hAnsi="Times New Roman" w:eastAsia="仿宋_GB2312" w:cs="Times New Roman"/>
          <w:sz w:val="32"/>
          <w:szCs w:val="32"/>
        </w:rPr>
        <w:t>有总承包、专业承包资质的建筑业法人单位。</w:t>
      </w:r>
    </w:p>
    <w:p w14:paraId="7095FFA5"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（五）</w:t>
      </w:r>
      <w:r>
        <w:rPr>
          <w:rFonts w:ascii="楷体_GB2312" w:hAnsi="Times New Roman" w:eastAsia="楷体_GB2312" w:cs="Times New Roman"/>
          <w:sz w:val="32"/>
          <w:szCs w:val="32"/>
        </w:rPr>
        <w:t>房地产开发经营业：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有开发经营活动的房地产开发经营业法人单位。        </w:t>
      </w:r>
    </w:p>
    <w:p w14:paraId="685812F4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三、</w:t>
      </w:r>
      <w:r>
        <w:rPr>
          <w:rFonts w:hint="eastAsia" w:ascii="黑体" w:hAnsi="黑体" w:eastAsia="黑体" w:cs="Times New Roman"/>
          <w:sz w:val="32"/>
          <w:szCs w:val="32"/>
        </w:rPr>
        <w:t>“</w:t>
      </w:r>
      <w:r>
        <w:rPr>
          <w:rFonts w:ascii="黑体" w:hAnsi="黑体" w:eastAsia="黑体" w:cs="Times New Roman"/>
          <w:sz w:val="32"/>
          <w:szCs w:val="32"/>
        </w:rPr>
        <w:t>入库纳统</w:t>
      </w:r>
      <w:r>
        <w:rPr>
          <w:rFonts w:hint="eastAsia" w:ascii="黑体" w:hAnsi="黑体" w:eastAsia="黑体" w:cs="Times New Roman"/>
          <w:sz w:val="32"/>
          <w:szCs w:val="32"/>
        </w:rPr>
        <w:t>”</w:t>
      </w:r>
      <w:r>
        <w:rPr>
          <w:rFonts w:ascii="黑体" w:hAnsi="黑体" w:eastAsia="黑体" w:cs="Times New Roman"/>
          <w:sz w:val="32"/>
          <w:szCs w:val="32"/>
        </w:rPr>
        <w:t xml:space="preserve">有哪些类型？    </w:t>
      </w:r>
    </w:p>
    <w:p w14:paraId="325C895B"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入库纳统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主要有两种类型：</w:t>
      </w:r>
    </w:p>
    <w:p w14:paraId="3CEBFDF6"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一种是针对新开业（投产）企业，在一定时期达到规模（限额）标准成为规上企业。</w:t>
      </w:r>
    </w:p>
    <w:p w14:paraId="0FD8A97E"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另一种是针对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成长型企业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，是由规模（限额）以下企业逐步发展成长起来达到规模（限额）标准，跻身规上企业。</w:t>
      </w:r>
    </w:p>
    <w:p w14:paraId="5581D079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 xml:space="preserve">四、企业“入库纳统”需要什么程序？     </w:t>
      </w:r>
    </w:p>
    <w:p w14:paraId="342383BF">
      <w:pPr>
        <w:snapToGrid w:val="0"/>
        <w:spacing w:line="60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企业纳统实行“四级联审”：</w:t>
      </w:r>
      <w:r>
        <w:rPr>
          <w:rFonts w:ascii="Times New Roman" w:hAnsi="Times New Roman" w:eastAsia="仿宋_GB2312" w:cs="Times New Roman"/>
          <w:sz w:val="32"/>
          <w:szCs w:val="32"/>
        </w:rPr>
        <w:t>达标企业提供申报材料后，乡镇街道统计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人员</w:t>
      </w:r>
      <w:r>
        <w:rPr>
          <w:rFonts w:ascii="Times New Roman" w:hAnsi="Times New Roman" w:eastAsia="仿宋_GB2312" w:cs="Times New Roman"/>
          <w:sz w:val="32"/>
          <w:szCs w:val="32"/>
        </w:rPr>
        <w:t>需对企业的真实性进行现场核实，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各区统计机构</w:t>
      </w:r>
      <w:r>
        <w:rPr>
          <w:rFonts w:ascii="Times New Roman" w:hAnsi="Times New Roman" w:eastAsia="仿宋_GB2312" w:cs="Times New Roman"/>
          <w:sz w:val="32"/>
          <w:szCs w:val="32"/>
        </w:rPr>
        <w:t>对企业申报材料的完整性、规范性以及行业划分的准确性、单位的真实性、数据的一致性等进行审核，完成企业申报材料的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“一</w:t>
      </w:r>
      <w:r>
        <w:rPr>
          <w:rFonts w:ascii="Times New Roman" w:hAnsi="Times New Roman" w:eastAsia="仿宋_GB2312" w:cs="Times New Roman"/>
          <w:sz w:val="32"/>
          <w:szCs w:val="32"/>
        </w:rPr>
        <w:t>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”；</w:t>
      </w:r>
      <w:r>
        <w:rPr>
          <w:rFonts w:ascii="Times New Roman" w:hAnsi="Times New Roman" w:eastAsia="仿宋_GB2312" w:cs="Times New Roman"/>
          <w:sz w:val="32"/>
          <w:szCs w:val="32"/>
        </w:rPr>
        <w:t>市级统计机构要对企业申报材料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申报单位进行核实或随机抽查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完成企业申报材料的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二审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自治区</w:t>
      </w:r>
      <w:r>
        <w:rPr>
          <w:rFonts w:ascii="Times New Roman" w:hAnsi="Times New Roman" w:eastAsia="仿宋_GB2312" w:cs="Times New Roman"/>
          <w:sz w:val="32"/>
          <w:szCs w:val="32"/>
        </w:rPr>
        <w:t>统计机构对市级审核上报的材料进行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“三</w:t>
      </w:r>
      <w:r>
        <w:rPr>
          <w:rFonts w:ascii="Times New Roman" w:hAnsi="Times New Roman" w:eastAsia="仿宋_GB2312" w:cs="Times New Roman"/>
          <w:sz w:val="32"/>
          <w:szCs w:val="32"/>
        </w:rPr>
        <w:t>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，并随机进行抽查，确认无误后报国家统计局进行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“四</w:t>
      </w:r>
      <w:r>
        <w:rPr>
          <w:rFonts w:ascii="Times New Roman" w:hAnsi="Times New Roman" w:eastAsia="仿宋_GB2312" w:cs="Times New Roman"/>
          <w:sz w:val="32"/>
          <w:szCs w:val="32"/>
        </w:rPr>
        <w:t>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（即终审），完成审核的企业正式纳入统计范围。</w:t>
      </w:r>
    </w:p>
    <w:p w14:paraId="0C434B05">
      <w:pPr>
        <w:snapToGrid w:val="0"/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五、</w:t>
      </w:r>
      <w:r>
        <w:rPr>
          <w:rFonts w:ascii="黑体" w:hAnsi="黑体" w:eastAsia="黑体" w:cs="Times New Roman"/>
          <w:sz w:val="32"/>
          <w:szCs w:val="32"/>
        </w:rPr>
        <w:t>审批时间</w:t>
      </w:r>
      <w:r>
        <w:rPr>
          <w:rFonts w:hint="eastAsia" w:ascii="黑体" w:hAnsi="黑体" w:eastAsia="黑体" w:cs="Times New Roman"/>
          <w:sz w:val="32"/>
          <w:szCs w:val="32"/>
        </w:rPr>
        <w:t>和有关要求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（以2025年为例）</w:t>
      </w:r>
    </w:p>
    <w:p w14:paraId="2479C623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按照国家统计局“四上”审核有关文件的要求，审核工作分为年度和月度两个申报审核阶段，企业年度申报一般为每年的11月—次年1月分两批次进行。月度申报审核一般为每年的2月—12月逐月进行（工业审核在12月前结束）。具体时间以统计制度要求为准。   </w:t>
      </w:r>
    </w:p>
    <w:p w14:paraId="2B9A9A00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177800</wp:posOffset>
            </wp:positionH>
            <wp:positionV relativeFrom="paragraph">
              <wp:posOffset>1905</wp:posOffset>
            </wp:positionV>
            <wp:extent cx="5003165" cy="3013710"/>
            <wp:effectExtent l="0" t="0" r="6985" b="15240"/>
            <wp:wrapNone/>
            <wp:docPr id="13" name="图片 6" descr="1755763087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 descr="17557630875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5877FC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22FC39AF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673FB9F8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65F3F0A4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33374E57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41B5EC64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1DAA1804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143510</wp:posOffset>
            </wp:positionH>
            <wp:positionV relativeFrom="paragraph">
              <wp:posOffset>348615</wp:posOffset>
            </wp:positionV>
            <wp:extent cx="5179695" cy="3004820"/>
            <wp:effectExtent l="0" t="0" r="0" b="0"/>
            <wp:wrapNone/>
            <wp:docPr id="2" name="图片 4" descr="1755762704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1755762704670"/>
                    <pic:cNvPicPr>
                      <a:picLocks noChangeAspect="1"/>
                    </pic:cNvPicPr>
                  </pic:nvPicPr>
                  <pic:blipFill>
                    <a:blip r:embed="rId6"/>
                    <a:srcRect t="6575"/>
                    <a:stretch>
                      <a:fillRect/>
                    </a:stretch>
                  </pic:blipFill>
                  <pic:spPr>
                    <a:xfrm>
                      <a:off x="0" y="0"/>
                      <a:ext cx="5179695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2FA067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08C9B881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779F5D51">
      <w:pPr>
        <w:snapToGrid w:val="0"/>
        <w:spacing w:line="600" w:lineRule="exact"/>
        <w:rPr>
          <w:rFonts w:ascii="黑体" w:hAnsi="黑体" w:eastAsia="黑体" w:cs="Times New Roman"/>
          <w:sz w:val="32"/>
          <w:szCs w:val="32"/>
        </w:rPr>
      </w:pPr>
    </w:p>
    <w:p w14:paraId="662314E3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4166EDC2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48ABB28D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</w:p>
    <w:p w14:paraId="446707CB">
      <w:pPr>
        <w:snapToGrid w:val="0"/>
        <w:spacing w:line="60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</w:rPr>
      </w:pPr>
    </w:p>
    <w:p w14:paraId="79D29801">
      <w:pPr>
        <w:snapToGrid w:val="0"/>
        <w:spacing w:line="600" w:lineRule="exact"/>
        <w:rPr>
          <w:rFonts w:hint="eastAsia" w:ascii="黑体" w:hAnsi="黑体" w:eastAsia="黑体" w:cs="Times New Roman"/>
          <w:sz w:val="32"/>
          <w:szCs w:val="32"/>
        </w:rPr>
      </w:pPr>
    </w:p>
    <w:p w14:paraId="12F6AED9">
      <w:pPr>
        <w:snapToGrid w:val="0"/>
        <w:spacing w:line="60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六</w:t>
      </w:r>
      <w:r>
        <w:rPr>
          <w:rFonts w:ascii="黑体" w:hAnsi="黑体" w:eastAsia="黑体" w:cs="Times New Roman"/>
          <w:sz w:val="32"/>
          <w:szCs w:val="32"/>
        </w:rPr>
        <w:t>、入</w:t>
      </w:r>
      <w:r>
        <w:rPr>
          <w:rFonts w:hint="eastAsia" w:ascii="黑体" w:hAnsi="黑体" w:eastAsia="黑体" w:cs="Times New Roman"/>
          <w:sz w:val="32"/>
          <w:szCs w:val="32"/>
        </w:rPr>
        <w:t>退</w:t>
      </w:r>
      <w:r>
        <w:rPr>
          <w:rFonts w:ascii="黑体" w:hAnsi="黑体" w:eastAsia="黑体" w:cs="Times New Roman"/>
          <w:sz w:val="32"/>
          <w:szCs w:val="32"/>
        </w:rPr>
        <w:t>库申报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分行业</w:t>
      </w:r>
      <w:r>
        <w:rPr>
          <w:rFonts w:hint="eastAsia" w:ascii="黑体" w:hAnsi="黑体" w:eastAsia="黑体" w:cs="Times New Roman"/>
          <w:sz w:val="32"/>
          <w:szCs w:val="32"/>
        </w:rPr>
        <w:t>情况</w:t>
      </w:r>
    </w:p>
    <w:p w14:paraId="691B0395"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申报入库单位需提供营业执照（证书）复印件、资质证书，利润表和纳税申报表等资料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每个行业的申报材料都不一样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75044500"/>
      <w:docPartObj>
        <w:docPartGallery w:val="autotext"/>
      </w:docPartObj>
    </w:sdtPr>
    <w:sdtContent>
      <w:p w14:paraId="40C2B433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13 -</w:t>
        </w:r>
        <w:r>
          <w:fldChar w:fldCharType="end"/>
        </w:r>
      </w:p>
    </w:sdtContent>
  </w:sdt>
  <w:p w14:paraId="26C304E8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6D3FFC"/>
    <w:rsid w:val="000E6D88"/>
    <w:rsid w:val="002F2A7C"/>
    <w:rsid w:val="003A42CE"/>
    <w:rsid w:val="00492ABD"/>
    <w:rsid w:val="006D3FFC"/>
    <w:rsid w:val="007779DA"/>
    <w:rsid w:val="00842E04"/>
    <w:rsid w:val="00925270"/>
    <w:rsid w:val="00A71EEF"/>
    <w:rsid w:val="00B17F6B"/>
    <w:rsid w:val="00B20302"/>
    <w:rsid w:val="00CA0041"/>
    <w:rsid w:val="00DF68A0"/>
    <w:rsid w:val="00ED19E2"/>
    <w:rsid w:val="00EF4EFB"/>
    <w:rsid w:val="06996916"/>
    <w:rsid w:val="06A62F63"/>
    <w:rsid w:val="07FD2934"/>
    <w:rsid w:val="08E70CF2"/>
    <w:rsid w:val="0E0B77DD"/>
    <w:rsid w:val="0EE52393"/>
    <w:rsid w:val="0FCE72CB"/>
    <w:rsid w:val="16C17241"/>
    <w:rsid w:val="17D91B3B"/>
    <w:rsid w:val="19720CC7"/>
    <w:rsid w:val="20173361"/>
    <w:rsid w:val="21C978F2"/>
    <w:rsid w:val="27870033"/>
    <w:rsid w:val="28A55869"/>
    <w:rsid w:val="294A1318"/>
    <w:rsid w:val="2E8E2278"/>
    <w:rsid w:val="34270BD4"/>
    <w:rsid w:val="34510EC7"/>
    <w:rsid w:val="35EF5721"/>
    <w:rsid w:val="37127A3F"/>
    <w:rsid w:val="38907284"/>
    <w:rsid w:val="3B5B1163"/>
    <w:rsid w:val="3FF7C2B1"/>
    <w:rsid w:val="42C46549"/>
    <w:rsid w:val="46723CC6"/>
    <w:rsid w:val="46D907BB"/>
    <w:rsid w:val="47877015"/>
    <w:rsid w:val="49402CC4"/>
    <w:rsid w:val="494D22DA"/>
    <w:rsid w:val="4A562B84"/>
    <w:rsid w:val="4AF63655"/>
    <w:rsid w:val="4C23204B"/>
    <w:rsid w:val="4DAD1CF2"/>
    <w:rsid w:val="56BB6A2E"/>
    <w:rsid w:val="58703990"/>
    <w:rsid w:val="5A8042EB"/>
    <w:rsid w:val="5C8E01AF"/>
    <w:rsid w:val="5E1C705D"/>
    <w:rsid w:val="5F304531"/>
    <w:rsid w:val="5FB82DF5"/>
    <w:rsid w:val="638E7E14"/>
    <w:rsid w:val="67896F08"/>
    <w:rsid w:val="688651C2"/>
    <w:rsid w:val="6B87372B"/>
    <w:rsid w:val="6E5F098F"/>
    <w:rsid w:val="71C54FAD"/>
    <w:rsid w:val="758B206A"/>
    <w:rsid w:val="76ED06C4"/>
    <w:rsid w:val="77533921"/>
    <w:rsid w:val="7A5E242E"/>
    <w:rsid w:val="7BD01856"/>
    <w:rsid w:val="7DD56578"/>
    <w:rsid w:val="7E114956"/>
    <w:rsid w:val="7F9304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4</Pages>
  <Words>1209</Words>
  <Characters>1238</Characters>
  <Lines>41</Lines>
  <Paragraphs>11</Paragraphs>
  <TotalTime>14</TotalTime>
  <ScaleCrop>false</ScaleCrop>
  <LinksUpToDate>false</LinksUpToDate>
  <CharactersWithSpaces>1267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2025-08-27T15:18:00Z</dcterms:created>
  <dc:creator>Administrator</dc:creator>
  <cp:lastModifiedBy>WPS_1666434161</cp:lastModifiedBy>
  <cp:lastPrinted>2025-08-27T17:01:00Z</cp:lastPrinted>
  <dcterms:modified xsi:type="dcterms:W3CDTF">2025-09-12T15:39:32Z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KSOTemplateDocerSaveRecord">
    <vt:lpwstr>eyJoZGlkIjoiNTk5ZjU1YTA2M2Q3MmI1NDNhNDk4M2Q5OGNmNDZlZTkiLCJ1c2VySWQiOiIxNDI1ODQxODQyIn0=</vt:lpwstr>
  </property>
  <property fmtid="{D5CDD505-2E9C-101B-9397-08002B2CF9AE}" pid="4" name="ICV">
    <vt:lpwstr>B66B0A50EDE9478689C0204C5B6CDCA7_12</vt:lpwstr>
  </property>
</Properties>
</file>