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B0A28">
      <w:pPr>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固定资产投资额</w:t>
      </w:r>
      <w:r>
        <w:rPr>
          <w:rFonts w:hint="eastAsia" w:ascii="方正小标宋简体" w:hAnsi="方正小标宋简体" w:eastAsia="方正小标宋简体" w:cs="方正小标宋简体"/>
          <w:sz w:val="44"/>
          <w:szCs w:val="44"/>
          <w:lang w:val="en-US" w:eastAsia="zh-CN"/>
        </w:rPr>
        <w:t>指标解释</w:t>
      </w:r>
    </w:p>
    <w:p w14:paraId="276B1162">
      <w:pPr>
        <w:rPr>
          <w:rFonts w:hint="eastAsia"/>
        </w:rPr>
      </w:pPr>
    </w:p>
    <w:p w14:paraId="767FB67D">
      <w:pPr>
        <w:rPr>
          <w:rFonts w:hint="eastAsia"/>
        </w:rPr>
      </w:pPr>
      <w:r>
        <w:rPr>
          <w:rFonts w:hint="eastAsia"/>
        </w:rPr>
        <w:t>固定资产投资额是我国投资统计制度中的核心指标，有着70多年的历史，20世纪50年代初我国正式建立了基本建设统计制度。随着我国经济社会结构的变迁，投资额统计的起点、范围和分组等内容也在不断地改革和完善。</w:t>
      </w:r>
    </w:p>
    <w:p w14:paraId="42C3EE3E">
      <w:pPr>
        <w:rPr>
          <w:rFonts w:hint="eastAsia" w:ascii="黑体" w:hAnsi="黑体" w:eastAsia="黑体" w:cs="黑体"/>
        </w:rPr>
      </w:pPr>
      <w:bookmarkStart w:id="0" w:name="_GoBack"/>
      <w:r>
        <w:rPr>
          <w:rFonts w:hint="eastAsia" w:ascii="黑体" w:hAnsi="黑体" w:eastAsia="黑体" w:cs="黑体"/>
        </w:rPr>
        <w:t>一、固定资产投资额的概念和用途</w:t>
      </w:r>
    </w:p>
    <w:bookmarkEnd w:id="0"/>
    <w:p w14:paraId="0AEFB6B7">
      <w:pPr>
        <w:rPr>
          <w:rFonts w:hint="eastAsia"/>
        </w:rPr>
      </w:pPr>
      <w:r>
        <w:rPr>
          <w:rFonts w:hint="eastAsia"/>
        </w:rPr>
        <w:t>固定资产投资额，是指以货币形式表现的在一定时期内建造和购置固定资产的工作量以及与此有关的费用的总称。</w:t>
      </w:r>
    </w:p>
    <w:p w14:paraId="5A517485">
      <w:pPr>
        <w:rPr>
          <w:rFonts w:hint="eastAsia"/>
        </w:rPr>
      </w:pPr>
      <w:r>
        <w:rPr>
          <w:rFonts w:hint="eastAsia"/>
        </w:rPr>
        <w:t>该指标是反映全国固定资产投资规模、结构和速度的综合性指标，也是观察工程进度和考察投资效果的重要依据。多年来，固定资产投资额为国家宏观调控提供了重要信息支撑，为社会公众开展科学研究提供了重要参考；同时，固定资产投资额是进行国民经济核算的重要基础。在国民经济核算中，固定资本形成总额是支出法GDP的重要组成部分，全社会固定资产投资额为核算固定资本形成总额提供了重要基础资料。</w:t>
      </w:r>
    </w:p>
    <w:p w14:paraId="16EE6D8E">
      <w:pPr>
        <w:rPr>
          <w:rFonts w:hint="eastAsia" w:ascii="黑体" w:hAnsi="黑体" w:eastAsia="黑体" w:cs="黑体"/>
          <w:lang w:val="en-US" w:eastAsia="zh-CN"/>
        </w:rPr>
      </w:pPr>
      <w:r>
        <w:rPr>
          <w:rFonts w:hint="eastAsia" w:ascii="黑体" w:hAnsi="黑体" w:eastAsia="黑体" w:cs="黑体"/>
          <w:lang w:val="en-US" w:eastAsia="zh-CN"/>
        </w:rPr>
        <w:t>二、固定资产投资统计范围</w:t>
      </w:r>
    </w:p>
    <w:p w14:paraId="337BDB0B">
      <w:pPr>
        <w:rPr>
          <w:rFonts w:hint="eastAsia"/>
        </w:rPr>
      </w:pPr>
      <w:r>
        <w:rPr>
          <w:rFonts w:hint="eastAsia"/>
        </w:rPr>
        <w:t>下列内容应纳入固定资产投资统计范围：</w:t>
      </w:r>
    </w:p>
    <w:p w14:paraId="62FCE0C2">
      <w:pPr>
        <w:rPr>
          <w:rFonts w:hint="eastAsia"/>
        </w:rPr>
      </w:pPr>
      <w:r>
        <w:rPr>
          <w:rFonts w:hint="eastAsia"/>
        </w:rPr>
        <w:t>（1）对现有固定资产进行投入再建设，改变其使用价值，调查单位在会计上进行资本化处理，且达到投资项目报送起点的项目，可纳入固定资产投资统计范围。如在现有道路基础上进行路面拓宽（如4车道扩为6车道）或升级（如低等级道路升级为高等级公路）。</w:t>
      </w:r>
    </w:p>
    <w:p w14:paraId="2E7AC23C">
      <w:pPr>
        <w:rPr>
          <w:rFonts w:hint="eastAsia"/>
        </w:rPr>
      </w:pPr>
      <w:r>
        <w:rPr>
          <w:rFonts w:hint="eastAsia"/>
        </w:rPr>
        <w:t>（2）生产性生物资产，如种畜、役畜和各种经济林木；公益性生物资产，如防风固沙林、水土保持林和水源涵养林；新建城市绿化或道路绿化项目中购置的苗木等，可纳入固定资产投资统计，填入其他费用。</w:t>
      </w:r>
    </w:p>
    <w:p w14:paraId="42D3E560">
      <w:pPr>
        <w:adjustRightInd w:val="0"/>
        <w:spacing w:line="360" w:lineRule="atLeast"/>
        <w:ind w:firstLine="422"/>
        <w:jc w:val="center"/>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固定资产投资项目纳统情况一览表</w:t>
      </w:r>
    </w:p>
    <w:tbl>
      <w:tblPr>
        <w:tblStyle w:val="5"/>
        <w:tblW w:w="9061"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5933"/>
        <w:gridCol w:w="3128"/>
      </w:tblGrid>
      <w:tr w14:paraId="66C5EB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tblHeader/>
          <w:jc w:val="center"/>
        </w:trPr>
        <w:tc>
          <w:tcPr>
            <w:tcW w:w="5933" w:type="dxa"/>
            <w:noWrap w:val="0"/>
            <w:vAlign w:val="center"/>
          </w:tcPr>
          <w:p w14:paraId="2F3F68A5">
            <w:pPr>
              <w:snapToGrid w:val="0"/>
              <w:spacing w:line="240" w:lineRule="auto"/>
              <w:ind w:left="0" w:leftChars="0" w:right="0" w:rightChars="0" w:firstLine="0" w:firstLineChars="0"/>
              <w:jc w:val="center"/>
              <w:rPr>
                <w:rFonts w:ascii="宋体" w:hAnsi="宋体" w:cs="宋体"/>
                <w:b/>
                <w:color w:val="000000"/>
                <w:kern w:val="0"/>
                <w:sz w:val="18"/>
                <w:szCs w:val="18"/>
              </w:rPr>
            </w:pPr>
            <w:r>
              <w:rPr>
                <w:rFonts w:hint="eastAsia" w:ascii="宋体" w:hAnsi="宋体" w:cs="宋体"/>
                <w:b/>
                <w:bCs/>
                <w:color w:val="000000"/>
                <w:kern w:val="0"/>
                <w:sz w:val="18"/>
                <w:szCs w:val="18"/>
              </w:rPr>
              <w:t>常见类别</w:t>
            </w:r>
          </w:p>
        </w:tc>
        <w:tc>
          <w:tcPr>
            <w:tcW w:w="3128" w:type="dxa"/>
            <w:noWrap w:val="0"/>
            <w:vAlign w:val="center"/>
          </w:tcPr>
          <w:p w14:paraId="0D0733EB">
            <w:pPr>
              <w:snapToGrid w:val="0"/>
              <w:spacing w:line="240" w:lineRule="auto"/>
              <w:ind w:left="0" w:leftChars="0" w:right="0" w:rightChars="0" w:firstLine="0" w:firstLineChars="0"/>
              <w:jc w:val="center"/>
              <w:rPr>
                <w:rFonts w:ascii="宋体" w:hAnsi="宋体" w:cs="宋体"/>
                <w:b/>
                <w:color w:val="000000"/>
                <w:kern w:val="0"/>
                <w:sz w:val="18"/>
                <w:szCs w:val="18"/>
              </w:rPr>
            </w:pPr>
            <w:r>
              <w:rPr>
                <w:rFonts w:ascii="宋体" w:hAnsi="宋体" w:cs="宋体"/>
                <w:b/>
                <w:bCs/>
                <w:color w:val="000000"/>
                <w:kern w:val="0"/>
                <w:sz w:val="18"/>
                <w:szCs w:val="18"/>
              </w:rPr>
              <w:t>是否能纳入固定资产投资统计</w:t>
            </w:r>
            <w:r>
              <w:rPr>
                <w:rFonts w:hint="eastAsia" w:ascii="宋体" w:hAnsi="宋体" w:cs="宋体"/>
                <w:b/>
                <w:bCs/>
                <w:color w:val="000000"/>
                <w:kern w:val="0"/>
                <w:sz w:val="18"/>
                <w:szCs w:val="18"/>
              </w:rPr>
              <w:t>范围</w:t>
            </w:r>
          </w:p>
        </w:tc>
      </w:tr>
      <w:tr w14:paraId="3F478D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564D3A57">
            <w:pPr>
              <w:snapToGrid w:val="0"/>
              <w:spacing w:line="240" w:lineRule="auto"/>
              <w:ind w:left="0" w:leftChars="0" w:right="0" w:rightChars="0" w:firstLine="0" w:firstLineChars="0"/>
              <w:jc w:val="left"/>
              <w:rPr>
                <w:rFonts w:ascii="宋体" w:hAnsi="宋体" w:eastAsia="仿宋_GB2312" w:cs="宋体"/>
                <w:b/>
                <w:bCs/>
                <w:color w:val="000000"/>
                <w:kern w:val="0"/>
                <w:sz w:val="18"/>
                <w:szCs w:val="18"/>
              </w:rPr>
            </w:pPr>
            <w:r>
              <w:rPr>
                <w:rFonts w:hint="eastAsia" w:ascii="宋体" w:hAnsi="宋体" w:eastAsia="仿宋_GB2312"/>
                <w:color w:val="000000"/>
                <w:sz w:val="18"/>
                <w:szCs w:val="18"/>
              </w:rPr>
              <w:t>厂房、仓库、办公室、住宅、商店、学校、医院、俱乐部、食堂、招待所等房屋</w:t>
            </w:r>
            <w:r>
              <w:rPr>
                <w:rFonts w:ascii="宋体" w:hAnsi="宋体" w:eastAsia="仿宋_GB2312"/>
                <w:color w:val="000000"/>
                <w:sz w:val="18"/>
                <w:szCs w:val="18"/>
              </w:rPr>
              <w:t>建设</w:t>
            </w:r>
            <w:r>
              <w:rPr>
                <w:rFonts w:hint="eastAsia" w:ascii="宋体" w:hAnsi="宋体" w:eastAsia="仿宋_GB2312"/>
                <w:color w:val="000000"/>
                <w:sz w:val="18"/>
                <w:szCs w:val="18"/>
              </w:rPr>
              <w:t>支出</w:t>
            </w:r>
          </w:p>
        </w:tc>
        <w:tc>
          <w:tcPr>
            <w:tcW w:w="3128" w:type="dxa"/>
            <w:noWrap w:val="0"/>
            <w:vAlign w:val="center"/>
          </w:tcPr>
          <w:p w14:paraId="60D4C8CC">
            <w:pPr>
              <w:snapToGrid w:val="0"/>
              <w:spacing w:line="240" w:lineRule="auto"/>
              <w:ind w:left="0" w:leftChars="0" w:right="0" w:rightChars="0" w:firstLine="0" w:firstLineChars="0"/>
              <w:jc w:val="center"/>
              <w:rPr>
                <w:rFonts w:ascii="宋体" w:hAnsi="宋体" w:eastAsia="仿宋_GB2312" w:cs="宋体"/>
                <w:b/>
                <w:bCs/>
                <w:color w:val="000000"/>
                <w:kern w:val="0"/>
                <w:sz w:val="18"/>
                <w:szCs w:val="18"/>
              </w:rPr>
            </w:pPr>
            <w:r>
              <w:rPr>
                <w:rFonts w:ascii="宋体" w:hAnsi="宋体" w:eastAsia="仿宋_GB2312" w:cs="宋体"/>
                <w:color w:val="000000"/>
                <w:kern w:val="0"/>
                <w:sz w:val="18"/>
                <w:szCs w:val="18"/>
              </w:rPr>
              <w:t>√</w:t>
            </w:r>
          </w:p>
        </w:tc>
      </w:tr>
      <w:tr w14:paraId="227801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48108D6B">
            <w:pPr>
              <w:snapToGrid w:val="0"/>
              <w:spacing w:line="240" w:lineRule="auto"/>
              <w:ind w:left="0" w:leftChars="0" w:right="0" w:rightChars="0" w:firstLine="0" w:firstLineChars="0"/>
              <w:jc w:val="left"/>
              <w:rPr>
                <w:rFonts w:hint="eastAsia" w:ascii="宋体" w:hAnsi="宋体" w:eastAsia="仿宋_GB2312"/>
                <w:color w:val="000000"/>
                <w:sz w:val="18"/>
                <w:szCs w:val="18"/>
              </w:rPr>
            </w:pPr>
            <w:r>
              <w:rPr>
                <w:rFonts w:hint="eastAsia" w:ascii="宋体" w:hAnsi="宋体" w:eastAsia="仿宋_GB2312"/>
                <w:color w:val="000000"/>
                <w:sz w:val="18"/>
                <w:szCs w:val="18"/>
              </w:rPr>
              <w:t>生产、动力、起重、运输、传动和医疗等设备的安装和调试费用</w:t>
            </w:r>
          </w:p>
        </w:tc>
        <w:tc>
          <w:tcPr>
            <w:tcW w:w="3128" w:type="dxa"/>
            <w:noWrap w:val="0"/>
            <w:vAlign w:val="center"/>
          </w:tcPr>
          <w:p w14:paraId="521A2EED">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14B08A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0A37373C">
            <w:pPr>
              <w:snapToGrid w:val="0"/>
              <w:spacing w:line="240" w:lineRule="auto"/>
              <w:ind w:left="0" w:leftChars="0" w:right="0" w:rightChars="0" w:firstLine="0" w:firstLineChars="0"/>
              <w:jc w:val="left"/>
              <w:rPr>
                <w:rFonts w:hint="eastAsia" w:ascii="宋体" w:hAnsi="宋体" w:eastAsia="仿宋_GB2312"/>
                <w:color w:val="000000"/>
                <w:sz w:val="18"/>
                <w:szCs w:val="18"/>
              </w:rPr>
            </w:pPr>
            <w:r>
              <w:rPr>
                <w:rFonts w:hint="eastAsia" w:ascii="宋体" w:hAnsi="宋体" w:eastAsia="仿宋_GB2312"/>
                <w:color w:val="000000"/>
                <w:sz w:val="18"/>
                <w:szCs w:val="18"/>
              </w:rPr>
              <w:t>各种生产设备、传导设备、动力设备、运输设备、生产工具、仪器仪表等的购置支出以及在</w:t>
            </w:r>
            <w:r>
              <w:rPr>
                <w:rFonts w:ascii="宋体" w:hAnsi="宋体" w:eastAsia="仿宋_GB2312"/>
                <w:color w:val="000000"/>
                <w:sz w:val="18"/>
                <w:szCs w:val="18"/>
              </w:rPr>
              <w:t>项目建设</w:t>
            </w:r>
            <w:r>
              <w:rPr>
                <w:rFonts w:hint="eastAsia" w:ascii="宋体" w:hAnsi="宋体" w:eastAsia="仿宋_GB2312"/>
                <w:color w:val="000000"/>
                <w:sz w:val="18"/>
                <w:szCs w:val="18"/>
              </w:rPr>
              <w:t>内容</w:t>
            </w:r>
            <w:r>
              <w:rPr>
                <w:rFonts w:ascii="宋体" w:hAnsi="宋体" w:eastAsia="仿宋_GB2312"/>
                <w:color w:val="000000"/>
                <w:sz w:val="18"/>
                <w:szCs w:val="18"/>
              </w:rPr>
              <w:t>中</w:t>
            </w:r>
            <w:r>
              <w:rPr>
                <w:rFonts w:hint="eastAsia" w:ascii="宋体" w:hAnsi="宋体" w:eastAsia="仿宋_GB2312"/>
                <w:color w:val="000000"/>
                <w:sz w:val="18"/>
                <w:szCs w:val="18"/>
              </w:rPr>
              <w:t>用于支持设备运转的软件系统购置支出</w:t>
            </w:r>
          </w:p>
        </w:tc>
        <w:tc>
          <w:tcPr>
            <w:tcW w:w="3128" w:type="dxa"/>
            <w:noWrap w:val="0"/>
            <w:vAlign w:val="center"/>
          </w:tcPr>
          <w:p w14:paraId="4C875495">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59B139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1D72E607">
            <w:pPr>
              <w:snapToGrid w:val="0"/>
              <w:spacing w:line="240" w:lineRule="auto"/>
              <w:ind w:left="0" w:leftChars="0" w:right="0" w:rightChars="0" w:firstLine="0" w:firstLineChars="0"/>
              <w:jc w:val="left"/>
              <w:rPr>
                <w:rFonts w:hint="eastAsia" w:ascii="宋体" w:hAnsi="宋体" w:eastAsia="仿宋_GB2312"/>
                <w:color w:val="000000"/>
                <w:sz w:val="18"/>
                <w:szCs w:val="18"/>
              </w:rPr>
            </w:pPr>
            <w:r>
              <w:rPr>
                <w:rFonts w:hint="eastAsia" w:ascii="宋体" w:hAnsi="宋体" w:eastAsia="仿宋_GB2312"/>
                <w:color w:val="000000"/>
                <w:sz w:val="18"/>
                <w:szCs w:val="18"/>
              </w:rPr>
              <w:t>项目管理人员的工资、贷款利息支出等</w:t>
            </w:r>
          </w:p>
        </w:tc>
        <w:tc>
          <w:tcPr>
            <w:tcW w:w="3128" w:type="dxa"/>
            <w:noWrap w:val="0"/>
            <w:vAlign w:val="center"/>
          </w:tcPr>
          <w:p w14:paraId="37F62392">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1F05294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1BAD5C59">
            <w:pPr>
              <w:snapToGrid w:val="0"/>
              <w:spacing w:line="240" w:lineRule="auto"/>
              <w:ind w:left="0" w:leftChars="0" w:right="0" w:rightChars="0" w:firstLine="0" w:firstLineChars="0"/>
              <w:jc w:val="left"/>
              <w:rPr>
                <w:rFonts w:hint="eastAsia" w:ascii="宋体" w:hAnsi="宋体" w:eastAsia="仿宋_GB2312"/>
                <w:color w:val="000000"/>
                <w:sz w:val="18"/>
                <w:szCs w:val="18"/>
              </w:rPr>
            </w:pPr>
            <w:r>
              <w:rPr>
                <w:rFonts w:hint="eastAsia" w:ascii="宋体" w:hAnsi="宋体" w:eastAsia="仿宋_GB2312"/>
                <w:color w:val="000000"/>
                <w:sz w:val="18"/>
                <w:szCs w:val="18"/>
              </w:rPr>
              <w:t>项目可研费、勘察设计费、工程监理费、招标费、环评费等前期费用</w:t>
            </w:r>
          </w:p>
        </w:tc>
        <w:tc>
          <w:tcPr>
            <w:tcW w:w="3128" w:type="dxa"/>
            <w:noWrap w:val="0"/>
            <w:vAlign w:val="center"/>
          </w:tcPr>
          <w:p w14:paraId="61C4B7F5">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7CF606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30B8004B">
            <w:pPr>
              <w:snapToGrid w:val="0"/>
              <w:spacing w:line="240" w:lineRule="auto"/>
              <w:ind w:left="0" w:leftChars="0" w:right="0" w:rightChars="0" w:firstLine="0" w:firstLineChars="0"/>
              <w:jc w:val="left"/>
              <w:rPr>
                <w:rFonts w:hint="eastAsia" w:ascii="宋体" w:hAnsi="宋体" w:eastAsia="仿宋_GB2312"/>
                <w:color w:val="000000"/>
                <w:sz w:val="18"/>
                <w:szCs w:val="18"/>
              </w:rPr>
            </w:pPr>
            <w:r>
              <w:rPr>
                <w:rFonts w:hint="eastAsia" w:ascii="宋体" w:hAnsi="宋体" w:eastAsia="仿宋_GB2312"/>
                <w:color w:val="000000"/>
                <w:sz w:val="18"/>
                <w:szCs w:val="18"/>
              </w:rPr>
              <w:t>项目所属的专利权、采矿权支出、项目建设期利息支出</w:t>
            </w:r>
          </w:p>
        </w:tc>
        <w:tc>
          <w:tcPr>
            <w:tcW w:w="3128" w:type="dxa"/>
            <w:noWrap w:val="0"/>
            <w:vAlign w:val="center"/>
          </w:tcPr>
          <w:p w14:paraId="7D4B6FC2">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3416E3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3F9DBDCF">
            <w:pPr>
              <w:snapToGrid w:val="0"/>
              <w:spacing w:line="240" w:lineRule="auto"/>
              <w:ind w:left="0" w:leftChars="0" w:right="0" w:rightChars="0" w:firstLine="0" w:firstLineChars="0"/>
              <w:jc w:val="left"/>
              <w:rPr>
                <w:rFonts w:hint="eastAsia" w:ascii="宋体" w:hAnsi="宋体" w:eastAsia="仿宋_GB2312"/>
                <w:color w:val="000000"/>
                <w:sz w:val="18"/>
                <w:szCs w:val="18"/>
              </w:rPr>
            </w:pPr>
            <w:r>
              <w:rPr>
                <w:rFonts w:hint="eastAsia" w:ascii="宋体" w:hAnsi="宋体" w:eastAsia="仿宋_GB2312"/>
                <w:color w:val="000000"/>
                <w:sz w:val="18"/>
                <w:szCs w:val="18"/>
              </w:rPr>
              <w:t>项目建设用地费用（不含土地收储）</w:t>
            </w:r>
          </w:p>
        </w:tc>
        <w:tc>
          <w:tcPr>
            <w:tcW w:w="3128" w:type="dxa"/>
            <w:noWrap w:val="0"/>
            <w:vAlign w:val="center"/>
          </w:tcPr>
          <w:p w14:paraId="29DF7D89">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376DD9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763646C9">
            <w:pPr>
              <w:snapToGrid w:val="0"/>
              <w:spacing w:line="240" w:lineRule="auto"/>
              <w:ind w:left="0" w:leftChars="0" w:right="0" w:rightChars="0" w:firstLine="0" w:firstLineChars="0"/>
              <w:jc w:val="left"/>
              <w:rPr>
                <w:rFonts w:ascii="宋体" w:hAnsi="宋体" w:eastAsia="仿宋_GB2312"/>
                <w:color w:val="000000"/>
                <w:sz w:val="18"/>
                <w:szCs w:val="18"/>
              </w:rPr>
            </w:pPr>
            <w:r>
              <w:rPr>
                <w:rFonts w:ascii="宋体" w:hAnsi="宋体" w:eastAsia="仿宋_GB2312"/>
                <w:color w:val="000000"/>
                <w:sz w:val="18"/>
                <w:szCs w:val="18"/>
              </w:rPr>
              <w:t>原有固定资产改扩建，如4车道扩为6车道或低等级道路升级为高等级公路</w:t>
            </w:r>
          </w:p>
        </w:tc>
        <w:tc>
          <w:tcPr>
            <w:tcW w:w="3128" w:type="dxa"/>
            <w:noWrap w:val="0"/>
            <w:vAlign w:val="center"/>
          </w:tcPr>
          <w:p w14:paraId="3E3BDEC8">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03303B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5BCBBA0E">
            <w:pPr>
              <w:snapToGrid w:val="0"/>
              <w:spacing w:line="240" w:lineRule="auto"/>
              <w:ind w:left="0" w:leftChars="0" w:right="0" w:rightChars="0" w:firstLine="0" w:firstLineChars="0"/>
              <w:jc w:val="left"/>
              <w:rPr>
                <w:rFonts w:ascii="宋体" w:hAnsi="宋体" w:eastAsia="仿宋_GB2312"/>
                <w:color w:val="000000"/>
                <w:sz w:val="18"/>
                <w:szCs w:val="18"/>
              </w:rPr>
            </w:pPr>
            <w:r>
              <w:rPr>
                <w:rFonts w:ascii="宋体" w:hAnsi="宋体" w:eastAsia="仿宋_GB2312"/>
                <w:color w:val="000000"/>
                <w:sz w:val="18"/>
                <w:szCs w:val="18"/>
              </w:rPr>
              <w:t>种畜、役畜和各种</w:t>
            </w:r>
            <w:r>
              <w:rPr>
                <w:rFonts w:hint="eastAsia" w:ascii="宋体" w:hAnsi="宋体" w:eastAsia="仿宋_GB2312"/>
                <w:color w:val="000000"/>
                <w:sz w:val="18"/>
                <w:szCs w:val="18"/>
              </w:rPr>
              <w:t>果树等</w:t>
            </w:r>
            <w:r>
              <w:rPr>
                <w:rFonts w:ascii="宋体" w:hAnsi="宋体" w:eastAsia="仿宋_GB2312"/>
                <w:color w:val="000000"/>
                <w:sz w:val="18"/>
                <w:szCs w:val="18"/>
              </w:rPr>
              <w:t>经济林木</w:t>
            </w:r>
            <w:r>
              <w:rPr>
                <w:rFonts w:hint="eastAsia" w:ascii="宋体" w:hAnsi="宋体" w:eastAsia="仿宋_GB2312"/>
                <w:color w:val="000000"/>
                <w:sz w:val="18"/>
                <w:szCs w:val="18"/>
              </w:rPr>
              <w:t>购置支出</w:t>
            </w:r>
          </w:p>
        </w:tc>
        <w:tc>
          <w:tcPr>
            <w:tcW w:w="3128" w:type="dxa"/>
            <w:noWrap w:val="0"/>
            <w:vAlign w:val="center"/>
          </w:tcPr>
          <w:p w14:paraId="167EED52">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2D7F85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2BBF2477">
            <w:pPr>
              <w:snapToGrid w:val="0"/>
              <w:spacing w:line="240" w:lineRule="auto"/>
              <w:ind w:left="0" w:leftChars="0" w:right="0" w:rightChars="0" w:firstLine="0" w:firstLineChars="0"/>
              <w:jc w:val="left"/>
              <w:rPr>
                <w:rFonts w:ascii="宋体" w:hAnsi="宋体" w:eastAsia="仿宋_GB2312"/>
                <w:color w:val="000000"/>
                <w:sz w:val="18"/>
                <w:szCs w:val="18"/>
              </w:rPr>
            </w:pPr>
            <w:r>
              <w:rPr>
                <w:rFonts w:ascii="宋体" w:hAnsi="宋体" w:eastAsia="仿宋_GB2312"/>
                <w:color w:val="000000"/>
                <w:sz w:val="18"/>
                <w:szCs w:val="18"/>
              </w:rPr>
              <w:t>防风固沙林、水土保持林和水源涵养林</w:t>
            </w:r>
          </w:p>
        </w:tc>
        <w:tc>
          <w:tcPr>
            <w:tcW w:w="3128" w:type="dxa"/>
            <w:noWrap w:val="0"/>
            <w:vAlign w:val="center"/>
          </w:tcPr>
          <w:p w14:paraId="5624D3FA">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42FD3E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0218C968">
            <w:pPr>
              <w:snapToGrid w:val="0"/>
              <w:spacing w:line="240" w:lineRule="auto"/>
              <w:ind w:left="0" w:leftChars="0" w:right="0" w:rightChars="0" w:firstLine="0" w:firstLineChars="0"/>
              <w:jc w:val="left"/>
              <w:rPr>
                <w:rFonts w:ascii="宋体" w:hAnsi="宋体" w:eastAsia="仿宋_GB2312"/>
                <w:color w:val="000000"/>
                <w:sz w:val="18"/>
                <w:szCs w:val="18"/>
              </w:rPr>
            </w:pPr>
            <w:r>
              <w:rPr>
                <w:rFonts w:ascii="宋体" w:hAnsi="宋体" w:eastAsia="仿宋_GB2312"/>
                <w:color w:val="000000"/>
                <w:sz w:val="18"/>
                <w:szCs w:val="18"/>
              </w:rPr>
              <w:t>新建城市绿化或道路绿化项目中购置的苗木</w:t>
            </w:r>
          </w:p>
        </w:tc>
        <w:tc>
          <w:tcPr>
            <w:tcW w:w="3128" w:type="dxa"/>
            <w:noWrap w:val="0"/>
            <w:vAlign w:val="center"/>
          </w:tcPr>
          <w:p w14:paraId="703B3A17">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58CDED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31593BC3">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单纯土地平整、土地一级开发、围海造地等</w:t>
            </w:r>
            <w:r>
              <w:rPr>
                <w:rFonts w:hint="eastAsia" w:ascii="宋体" w:hAnsi="宋体" w:eastAsia="仿宋_GB2312" w:cs="宋体"/>
                <w:color w:val="000000"/>
                <w:kern w:val="0"/>
                <w:sz w:val="18"/>
                <w:szCs w:val="18"/>
              </w:rPr>
              <w:t>支出</w:t>
            </w:r>
          </w:p>
        </w:tc>
        <w:tc>
          <w:tcPr>
            <w:tcW w:w="3128" w:type="dxa"/>
            <w:noWrap w:val="0"/>
            <w:vAlign w:val="center"/>
          </w:tcPr>
          <w:p w14:paraId="4951C877">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109008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719E74CB">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流动资产</w:t>
            </w:r>
          </w:p>
        </w:tc>
        <w:tc>
          <w:tcPr>
            <w:tcW w:w="3128" w:type="dxa"/>
            <w:noWrap w:val="0"/>
            <w:vAlign w:val="center"/>
          </w:tcPr>
          <w:p w14:paraId="08F0E958">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265515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636D58AC">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办公耗材等低值易耗品</w:t>
            </w:r>
          </w:p>
        </w:tc>
        <w:tc>
          <w:tcPr>
            <w:tcW w:w="3128" w:type="dxa"/>
            <w:noWrap w:val="0"/>
            <w:vAlign w:val="center"/>
          </w:tcPr>
          <w:p w14:paraId="6D31615A">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3E7D05C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68BAB3EF">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股票（或股权）、期货、金融衍生产品、古玩字画、艺术品等投资品</w:t>
            </w:r>
          </w:p>
        </w:tc>
        <w:tc>
          <w:tcPr>
            <w:tcW w:w="3128" w:type="dxa"/>
            <w:noWrap w:val="0"/>
            <w:vAlign w:val="center"/>
          </w:tcPr>
          <w:p w14:paraId="2A309F6F">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360563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3EBDEFB6">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农作物、</w:t>
            </w:r>
            <w:r>
              <w:rPr>
                <w:rFonts w:hint="eastAsia" w:ascii="宋体" w:hAnsi="宋体" w:eastAsia="仿宋_GB2312" w:cs="宋体"/>
                <w:color w:val="000000"/>
                <w:kern w:val="0"/>
                <w:sz w:val="18"/>
                <w:szCs w:val="18"/>
              </w:rPr>
              <w:t>蔬菜、中药材、</w:t>
            </w:r>
            <w:r>
              <w:rPr>
                <w:rFonts w:ascii="宋体" w:hAnsi="宋体" w:eastAsia="仿宋_GB2312" w:cs="宋体"/>
                <w:color w:val="000000"/>
                <w:kern w:val="0"/>
                <w:sz w:val="18"/>
                <w:szCs w:val="18"/>
              </w:rPr>
              <w:t>花卉、存栏待售的牲畜等消耗性生物资产</w:t>
            </w:r>
          </w:p>
        </w:tc>
        <w:tc>
          <w:tcPr>
            <w:tcW w:w="3128" w:type="dxa"/>
            <w:noWrap w:val="0"/>
            <w:vAlign w:val="center"/>
          </w:tcPr>
          <w:p w14:paraId="4427514C">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052BB2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7B5B510D">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发放给农户的货币补贴</w:t>
            </w:r>
          </w:p>
        </w:tc>
        <w:tc>
          <w:tcPr>
            <w:tcW w:w="3128" w:type="dxa"/>
            <w:noWrap w:val="0"/>
            <w:vAlign w:val="center"/>
          </w:tcPr>
          <w:p w14:paraId="40C80127">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573224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14F0D0B7">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hint="eastAsia" w:ascii="宋体" w:hAnsi="宋体" w:eastAsia="仿宋_GB2312" w:cs="宋体"/>
                <w:color w:val="000000"/>
                <w:kern w:val="0"/>
                <w:sz w:val="18"/>
                <w:szCs w:val="18"/>
              </w:rPr>
              <w:t>设备</w:t>
            </w:r>
            <w:r>
              <w:rPr>
                <w:rFonts w:ascii="宋体" w:hAnsi="宋体" w:eastAsia="仿宋_GB2312" w:cs="宋体"/>
                <w:color w:val="000000"/>
                <w:kern w:val="0"/>
                <w:sz w:val="18"/>
                <w:szCs w:val="18"/>
              </w:rPr>
              <w:t>大修理、</w:t>
            </w:r>
            <w:r>
              <w:rPr>
                <w:rFonts w:hint="eastAsia" w:ascii="宋体" w:hAnsi="宋体" w:eastAsia="仿宋_GB2312" w:cs="宋体"/>
                <w:color w:val="000000"/>
                <w:kern w:val="0"/>
                <w:sz w:val="18"/>
                <w:szCs w:val="18"/>
              </w:rPr>
              <w:t>道路等基础设施</w:t>
            </w:r>
            <w:r>
              <w:rPr>
                <w:rFonts w:ascii="宋体" w:hAnsi="宋体" w:eastAsia="仿宋_GB2312" w:cs="宋体"/>
                <w:color w:val="000000"/>
                <w:kern w:val="0"/>
                <w:sz w:val="18"/>
                <w:szCs w:val="18"/>
              </w:rPr>
              <w:t>养护维护工程</w:t>
            </w:r>
            <w:r>
              <w:rPr>
                <w:rFonts w:hint="eastAsia" w:ascii="宋体" w:hAnsi="宋体" w:eastAsia="仿宋_GB2312" w:cs="宋体"/>
                <w:color w:val="000000"/>
                <w:kern w:val="0"/>
                <w:sz w:val="18"/>
                <w:szCs w:val="18"/>
              </w:rPr>
              <w:t>、房屋建筑业维修工程、</w:t>
            </w:r>
            <w:r>
              <w:rPr>
                <w:rFonts w:hint="eastAsia" w:ascii="宋体" w:hAnsi="宋体" w:eastAsia="仿宋_GB2312"/>
                <w:color w:val="000000"/>
                <w:sz w:val="18"/>
                <w:szCs w:val="20"/>
              </w:rPr>
              <w:t>社区环境微改造工程</w:t>
            </w:r>
          </w:p>
        </w:tc>
        <w:tc>
          <w:tcPr>
            <w:tcW w:w="3128" w:type="dxa"/>
            <w:noWrap w:val="0"/>
            <w:vAlign w:val="center"/>
          </w:tcPr>
          <w:p w14:paraId="35DDCC67">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675142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14C148B2">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单纯购置旧建筑物和旧设备</w:t>
            </w:r>
          </w:p>
        </w:tc>
        <w:tc>
          <w:tcPr>
            <w:tcW w:w="3128" w:type="dxa"/>
            <w:noWrap w:val="0"/>
            <w:vAlign w:val="center"/>
          </w:tcPr>
          <w:p w14:paraId="37223332">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48051D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4B98A1DA">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经营租赁的固定资产</w:t>
            </w:r>
            <w:r>
              <w:rPr>
                <w:rFonts w:hint="eastAsia" w:ascii="宋体" w:hAnsi="宋体" w:eastAsia="仿宋_GB2312" w:cs="宋体"/>
                <w:color w:val="000000"/>
                <w:kern w:val="0"/>
                <w:sz w:val="18"/>
                <w:szCs w:val="18"/>
              </w:rPr>
              <w:t>的租金支出</w:t>
            </w:r>
          </w:p>
        </w:tc>
        <w:tc>
          <w:tcPr>
            <w:tcW w:w="3128" w:type="dxa"/>
            <w:noWrap w:val="0"/>
            <w:vAlign w:val="center"/>
          </w:tcPr>
          <w:p w14:paraId="785951D0">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r w14:paraId="237EE8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5933" w:type="dxa"/>
            <w:noWrap w:val="0"/>
            <w:vAlign w:val="center"/>
          </w:tcPr>
          <w:p w14:paraId="74EE006F">
            <w:pPr>
              <w:snapToGrid w:val="0"/>
              <w:spacing w:line="240" w:lineRule="auto"/>
              <w:ind w:left="0" w:leftChars="0" w:right="0" w:rightChars="0" w:firstLine="0" w:firstLineChars="0"/>
              <w:jc w:val="left"/>
              <w:rPr>
                <w:rFonts w:ascii="宋体" w:hAnsi="宋体" w:eastAsia="仿宋_GB2312" w:cs="宋体"/>
                <w:color w:val="000000"/>
                <w:kern w:val="0"/>
                <w:sz w:val="18"/>
                <w:szCs w:val="18"/>
              </w:rPr>
            </w:pPr>
            <w:r>
              <w:rPr>
                <w:rFonts w:ascii="宋体" w:hAnsi="宋体" w:eastAsia="仿宋_GB2312" w:cs="宋体"/>
                <w:color w:val="000000"/>
                <w:kern w:val="0"/>
                <w:sz w:val="18"/>
                <w:szCs w:val="18"/>
              </w:rPr>
              <w:t>单位购置商品房</w:t>
            </w:r>
            <w:r>
              <w:rPr>
                <w:rFonts w:hint="eastAsia" w:ascii="宋体" w:hAnsi="宋体" w:eastAsia="仿宋_GB2312" w:cs="宋体"/>
                <w:color w:val="000000"/>
                <w:kern w:val="0"/>
                <w:sz w:val="18"/>
                <w:szCs w:val="18"/>
              </w:rPr>
              <w:t>支出</w:t>
            </w:r>
          </w:p>
        </w:tc>
        <w:tc>
          <w:tcPr>
            <w:tcW w:w="3128" w:type="dxa"/>
            <w:noWrap w:val="0"/>
            <w:vAlign w:val="center"/>
          </w:tcPr>
          <w:p w14:paraId="06C95E04">
            <w:pPr>
              <w:snapToGrid w:val="0"/>
              <w:spacing w:line="240" w:lineRule="auto"/>
              <w:ind w:left="0" w:leftChars="0" w:right="0" w:rightChars="0" w:firstLine="0" w:firstLineChars="0"/>
              <w:jc w:val="center"/>
              <w:rPr>
                <w:rFonts w:ascii="宋体" w:hAnsi="宋体" w:eastAsia="仿宋_GB2312" w:cs="宋体"/>
                <w:color w:val="000000"/>
                <w:kern w:val="0"/>
                <w:sz w:val="18"/>
                <w:szCs w:val="18"/>
              </w:rPr>
            </w:pPr>
            <w:r>
              <w:rPr>
                <w:rFonts w:ascii="宋体" w:hAnsi="宋体" w:eastAsia="仿宋_GB2312" w:cs="宋体"/>
                <w:color w:val="000000"/>
                <w:kern w:val="0"/>
                <w:sz w:val="18"/>
                <w:szCs w:val="18"/>
              </w:rPr>
              <w:t>×</w:t>
            </w:r>
          </w:p>
        </w:tc>
      </w:tr>
    </w:tbl>
    <w:p w14:paraId="7BD3E294">
      <w:pPr>
        <w:rPr>
          <w:rFonts w:hint="eastAsia"/>
        </w:rPr>
      </w:pPr>
      <w:r>
        <w:rPr>
          <w:rFonts w:hint="eastAsia"/>
        </w:rPr>
        <w:t>固定资产投资统计范围不包括：</w:t>
      </w:r>
    </w:p>
    <w:p w14:paraId="7EDDF5A1">
      <w:pPr>
        <w:rPr>
          <w:rFonts w:hint="eastAsia"/>
        </w:rPr>
      </w:pPr>
      <w:r>
        <w:rPr>
          <w:rFonts w:hint="eastAsia"/>
        </w:rPr>
        <w:t>（1）不属于固定资产的。</w:t>
      </w:r>
    </w:p>
    <w:p w14:paraId="45C771F9">
      <w:pPr>
        <w:rPr>
          <w:rFonts w:hint="eastAsia"/>
        </w:rPr>
      </w:pPr>
      <w:r>
        <w:rPr>
          <w:rFonts w:hint="eastAsia"/>
        </w:rPr>
        <w:t>①流动资产。无论是否与固定资产投资项目相关，均不能纳入固定资产投资统计范围。</w:t>
      </w:r>
    </w:p>
    <w:p w14:paraId="61993524">
      <w:pPr>
        <w:rPr>
          <w:rFonts w:hint="eastAsia"/>
        </w:rPr>
      </w:pPr>
      <w:r>
        <w:rPr>
          <w:rFonts w:hint="eastAsia"/>
        </w:rPr>
        <w:t>②消耗品，如办公耗材（低值易耗品）等。</w:t>
      </w:r>
    </w:p>
    <w:p w14:paraId="6416366E">
      <w:pPr>
        <w:rPr>
          <w:rFonts w:hint="eastAsia"/>
        </w:rPr>
      </w:pPr>
      <w:r>
        <w:rPr>
          <w:rFonts w:hint="eastAsia"/>
        </w:rPr>
        <w:t>③投资品，如</w:t>
      </w:r>
      <w:r>
        <w:rPr>
          <w:rFonts w:hint="eastAsia"/>
        </w:rPr>
        <w:fldChar w:fldCharType="begin"/>
      </w:r>
      <w:r>
        <w:rPr>
          <w:rFonts w:hint="eastAsia"/>
        </w:rPr>
        <w:instrText xml:space="preserve"> HYPERLINK "https://baike.baidu.com/item/%E8%82%A1%E7%A5%A8/22647" \t "_blank" </w:instrText>
      </w:r>
      <w:r>
        <w:rPr>
          <w:rFonts w:hint="eastAsia"/>
        </w:rPr>
        <w:fldChar w:fldCharType="separate"/>
      </w:r>
      <w:r>
        <w:rPr>
          <w:rFonts w:hint="eastAsia"/>
        </w:rPr>
        <w:t>股票</w:t>
      </w:r>
      <w:r>
        <w:rPr>
          <w:rFonts w:hint="eastAsia"/>
        </w:rPr>
        <w:fldChar w:fldCharType="end"/>
      </w:r>
      <w:r>
        <w:rPr>
          <w:rFonts w:hint="eastAsia"/>
        </w:rPr>
        <w:t>（或股权）、</w:t>
      </w:r>
      <w:r>
        <w:rPr>
          <w:rFonts w:hint="eastAsia"/>
        </w:rPr>
        <w:fldChar w:fldCharType="begin"/>
      </w:r>
      <w:r>
        <w:rPr>
          <w:rFonts w:hint="eastAsia"/>
        </w:rPr>
        <w:instrText xml:space="preserve"> HYPERLINK "https://baike.baidu.com/item/%E6%9C%9F%E8%B4%A7" \t "_blank" </w:instrText>
      </w:r>
      <w:r>
        <w:rPr>
          <w:rFonts w:hint="eastAsia"/>
        </w:rPr>
        <w:fldChar w:fldCharType="separate"/>
      </w:r>
      <w:r>
        <w:rPr>
          <w:rFonts w:hint="eastAsia"/>
        </w:rPr>
        <w:t>期货</w:t>
      </w:r>
      <w:r>
        <w:rPr>
          <w:rFonts w:hint="eastAsia"/>
        </w:rPr>
        <w:fldChar w:fldCharType="end"/>
      </w:r>
      <w:r>
        <w:rPr>
          <w:rFonts w:hint="eastAsia"/>
        </w:rPr>
        <w:t>、</w:t>
      </w:r>
      <w:r>
        <w:rPr>
          <w:rFonts w:hint="eastAsia"/>
        </w:rPr>
        <w:fldChar w:fldCharType="begin"/>
      </w:r>
      <w:r>
        <w:rPr>
          <w:rFonts w:hint="eastAsia"/>
        </w:rPr>
        <w:instrText xml:space="preserve"> HYPERLINK "https://baike.baidu.com/item/%E9%87%91%E8%9E%8D%E8%A1%8D%E7%94%9F%E4%BA%A7%E5%93%81" \t "_blank" </w:instrText>
      </w:r>
      <w:r>
        <w:rPr>
          <w:rFonts w:hint="eastAsia"/>
        </w:rPr>
        <w:fldChar w:fldCharType="separate"/>
      </w:r>
      <w:r>
        <w:rPr>
          <w:rFonts w:hint="eastAsia"/>
        </w:rPr>
        <w:t>金融衍生产品</w:t>
      </w:r>
      <w:r>
        <w:rPr>
          <w:rFonts w:hint="eastAsia"/>
        </w:rPr>
        <w:fldChar w:fldCharType="end"/>
      </w:r>
      <w:r>
        <w:rPr>
          <w:rFonts w:hint="eastAsia"/>
        </w:rPr>
        <w:t>、古玩字画、文艺作品等。</w:t>
      </w:r>
    </w:p>
    <w:p w14:paraId="452502E1">
      <w:pPr>
        <w:rPr>
          <w:rFonts w:hint="eastAsia"/>
        </w:rPr>
      </w:pPr>
      <w:r>
        <w:rPr>
          <w:rFonts w:hint="eastAsia"/>
        </w:rPr>
        <w:t>④消耗性生物资产，如农作物、待售林木和花卉、存栏待售的牲畜（非种畜、役畜）等。</w:t>
      </w:r>
    </w:p>
    <w:p w14:paraId="3DB8B4D7">
      <w:pPr>
        <w:rPr>
          <w:rFonts w:hint="eastAsia"/>
        </w:rPr>
      </w:pPr>
      <w:r>
        <w:rPr>
          <w:rFonts w:hint="eastAsia"/>
        </w:rPr>
        <w:t>⑤发放给农户的货币补贴，如美丽乡村、新农村建设等项目中的补贴。</w:t>
      </w:r>
    </w:p>
    <w:p w14:paraId="0BED0BE4">
      <w:pPr>
        <w:rPr>
          <w:rFonts w:hint="eastAsia"/>
        </w:rPr>
      </w:pPr>
      <w:r>
        <w:rPr>
          <w:rFonts w:hint="eastAsia"/>
        </w:rPr>
        <w:t>⑥投资统计制度规定的其他不应纳入投资统计范围的内容。</w:t>
      </w:r>
    </w:p>
    <w:p w14:paraId="6AAF4BC5">
      <w:pPr>
        <w:rPr>
          <w:rFonts w:hint="eastAsia"/>
        </w:rPr>
      </w:pPr>
      <w:r>
        <w:rPr>
          <w:rFonts w:hint="eastAsia"/>
        </w:rPr>
        <w:t>（2）相关支出在会计上作为成本费用处理的建设活动。</w:t>
      </w:r>
    </w:p>
    <w:p w14:paraId="57F74FE7">
      <w:pPr>
        <w:rPr>
          <w:rFonts w:hint="eastAsia"/>
        </w:rPr>
      </w:pPr>
      <w:r>
        <w:rPr>
          <w:rFonts w:hint="eastAsia"/>
        </w:rPr>
        <w:t>一般包括大修理、养护、维护性质的工程，如设备维修、建筑物翻修和加固、单纯装饰装修、农田水利工程（堤防、水库）维修、铁路大修、道路日常养护、景观维护等。这类建设活动未替换原有的固定资产，也没有增加新的固定资产，属于生产范畴，不属于投资活动。</w:t>
      </w:r>
    </w:p>
    <w:p w14:paraId="3729BD5E">
      <w:pPr>
        <w:rPr>
          <w:rFonts w:hint="eastAsia"/>
        </w:rPr>
      </w:pPr>
      <w:r>
        <w:rPr>
          <w:rFonts w:hint="eastAsia"/>
        </w:rPr>
        <w:t>（3）会造成重复统计的。</w:t>
      </w:r>
    </w:p>
    <w:p w14:paraId="62E2966A">
      <w:pPr>
        <w:rPr>
          <w:rFonts w:hint="eastAsia"/>
        </w:rPr>
      </w:pPr>
      <w:r>
        <w:rPr>
          <w:rFonts w:hint="eastAsia"/>
        </w:rPr>
        <w:t>一般包括单纯购置的旧建筑物和旧设备、临时性租赁租入（融资租赁除外）的固定资产、单位购置的商品房（包括主管部门购置商品房转换为保障性住房）、单纯土地平整、土地一级开发、围海造地等。这类建设项目虽然符合固定资产投资属性，但由于其相关支出已经在前期统计或将在后期建设时进行统计，为避免重复统计，上述内容不纳入固定资产投资统计范围。</w:t>
      </w:r>
    </w:p>
    <w:p w14:paraId="11327AF9">
      <w:pPr>
        <w:rPr>
          <w:rFonts w:hint="eastAsia" w:ascii="黑体" w:hAnsi="黑体" w:eastAsia="黑体" w:cs="黑体"/>
        </w:rPr>
      </w:pPr>
      <w:r>
        <w:rPr>
          <w:rFonts w:hint="eastAsia" w:ascii="黑体" w:hAnsi="黑体" w:eastAsia="黑体" w:cs="黑体"/>
          <w:lang w:val="en-US" w:eastAsia="zh-CN"/>
        </w:rPr>
        <w:t>三</w:t>
      </w:r>
      <w:r>
        <w:rPr>
          <w:rFonts w:hint="eastAsia" w:ascii="黑体" w:hAnsi="黑体" w:eastAsia="黑体" w:cs="黑体"/>
        </w:rPr>
        <w:t>、固定资产投资额的计算方法和填报依据</w:t>
      </w:r>
    </w:p>
    <w:p w14:paraId="7CE3D02E">
      <w:pPr>
        <w:rPr>
          <w:rFonts w:hint="eastAsia"/>
        </w:rPr>
      </w:pPr>
      <w:r>
        <w:rPr>
          <w:rFonts w:hint="eastAsia"/>
        </w:rPr>
        <w:t>固定资产投资按照构成可分为建筑工程、安装工程、设备工器具购置和其他费用。投资额计算方法为对每个构成分别计算，再将四部分投资完成额相加。即投资额＝建筑工程＋安装工程＋设备工器具购置＋其他费用。</w:t>
      </w:r>
    </w:p>
    <w:p w14:paraId="2B66FD90">
      <w:pPr>
        <w:rPr>
          <w:rFonts w:hint="eastAsia"/>
        </w:rPr>
      </w:pPr>
      <w:r>
        <w:rPr>
          <w:rFonts w:hint="eastAsia"/>
        </w:rPr>
        <w:t>投资额应依据凭证规范填报，按照凭证取得时点作为计量时点。以工程结算单或进度单为依据的，按照工程三方（建设、施工、监理）签字认定中最后一方签章时间为计量时点；以会计科目为计量依据的，按照入账时间为计量时点；以支付凭证为依据的，按照开票日期为计量时点。</w:t>
      </w:r>
    </w:p>
    <w:p w14:paraId="44E95AD0">
      <w:pPr>
        <w:rPr>
          <w:rFonts w:hint="eastAsia"/>
        </w:rPr>
      </w:pPr>
      <w:r>
        <w:rPr>
          <w:rFonts w:hint="eastAsia"/>
        </w:rPr>
        <w:t>建筑工程、安装工程的计量依据有两种：一是工程结算单或进度单，一般根据已经完成的实物工作量乘以预算单价计算投资额。二是会计科目或相关支付凭证，对应会计科目为：在建工程——建筑安装工程。</w:t>
      </w:r>
    </w:p>
    <w:p w14:paraId="5A080260">
      <w:pPr>
        <w:rPr>
          <w:rFonts w:hint="eastAsia"/>
        </w:rPr>
      </w:pPr>
      <w:r>
        <w:rPr>
          <w:rFonts w:hint="eastAsia"/>
        </w:rPr>
        <w:t>设备工器具购置依据相关支付凭证计算。对应会计科目为：在建工程——在安装设备（需安装设备）；固定资产下相关二级科目（不需安装设备）。</w:t>
      </w:r>
    </w:p>
    <w:p w14:paraId="201C16BD">
      <w:pPr>
        <w:rPr>
          <w:rFonts w:hint="eastAsia"/>
        </w:rPr>
      </w:pPr>
      <w:r>
        <w:rPr>
          <w:rFonts w:hint="eastAsia"/>
        </w:rPr>
        <w:t>其他费用一般按财务部门实际支付的金额计算。相关会计科目为：在建工程——待摊支出；无形资产——土地使用权等。</w:t>
      </w:r>
    </w:p>
    <w:p w14:paraId="496EC9C2">
      <w:pPr>
        <w:rPr>
          <w:rFonts w:hint="eastAsia"/>
        </w:rPr>
      </w:pP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43"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大标宋简体">
    <w:panose1 w:val="02000000000000000000"/>
    <w:charset w:val="86"/>
    <w:family w:val="auto"/>
    <w:pitch w:val="default"/>
    <w:sig w:usb0="A00002BF" w:usb1="184F6CFA" w:usb2="00000012" w:usb3="00000000" w:csb0="00040001" w:csb1="00000000"/>
  </w:font>
  <w:font w:name="汉仪叶叶相思体简">
    <w:panose1 w:val="02010509060101010101"/>
    <w:charset w:val="86"/>
    <w:family w:val="auto"/>
    <w:pitch w:val="default"/>
    <w:sig w:usb0="00000001" w:usb1="080E0000" w:usb2="00000000" w:usb3="00000000" w:csb0="00040000" w:csb1="00000000"/>
  </w:font>
  <w:font w:name="汉仪行楷简">
    <w:panose1 w:val="02010600000101010101"/>
    <w:charset w:val="86"/>
    <w:family w:val="auto"/>
    <w:pitch w:val="default"/>
    <w:sig w:usb0="00000001" w:usb1="080E0800" w:usb2="00000002"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DC3638"/>
    <w:rsid w:val="10E0091B"/>
    <w:rsid w:val="22EB7913"/>
    <w:rsid w:val="49DD6553"/>
    <w:rsid w:val="4F444DD9"/>
    <w:rsid w:val="7CDC3638"/>
    <w:rsid w:val="FFAE7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adjustRightInd w:val="0"/>
      <w:snapToGrid w:val="0"/>
      <w:spacing w:line="560" w:lineRule="exact"/>
      <w:ind w:firstLine="420" w:firstLineChars="200"/>
      <w:jc w:val="both"/>
    </w:pPr>
    <w:rPr>
      <w:rFonts w:eastAsia="仿宋_GB2312" w:asciiTheme="minorAscii" w:hAnsiTheme="minorAscii" w:cstheme="minorBidi"/>
      <w:kern w:val="2"/>
      <w:sz w:val="32"/>
      <w:szCs w:val="24"/>
      <w:lang w:val="en-US" w:eastAsia="zh-CN" w:bidi="ar-SA"/>
    </w:rPr>
  </w:style>
  <w:style w:type="paragraph" w:styleId="2">
    <w:name w:val="heading 1"/>
    <w:basedOn w:val="3"/>
    <w:next w:val="1"/>
    <w:qFormat/>
    <w:uiPriority w:val="0"/>
    <w:pPr>
      <w:keepNext/>
      <w:keepLines/>
      <w:spacing w:before="340" w:beforeLines="0" w:beforeAutospacing="0" w:after="330" w:afterLines="0" w:afterAutospacing="0" w:line="576" w:lineRule="auto"/>
      <w:outlineLvl w:val="0"/>
    </w:pPr>
    <w:rPr>
      <w:rFonts w:eastAsia="方正小标宋简体" w:cs="Times New Roman" w:asciiTheme="minorAscii" w:hAnsiTheme="minorAscii"/>
      <w:b w:val="0"/>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公文一级标题"/>
    <w:basedOn w:val="1"/>
    <w:qFormat/>
    <w:uiPriority w:val="0"/>
    <w:pPr>
      <w:widowControl/>
      <w:adjustRightInd w:val="0"/>
      <w:snapToGrid w:val="0"/>
      <w:spacing w:line="560" w:lineRule="exact"/>
      <w:ind w:firstLine="880" w:firstLineChars="200"/>
      <w:jc w:val="left"/>
    </w:pPr>
    <w:rPr>
      <w:rFonts w:hint="eastAsia" w:ascii="黑体" w:hAnsi="黑体" w:eastAsia="黑体" w:cs="黑体"/>
      <w:color w:val="auto"/>
      <w:kern w:val="0"/>
      <w:sz w:val="32"/>
      <w:szCs w:val="32"/>
      <w:lang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2026-08-13T10:39:00Z</dcterms:created>
  <dc:creator>WPS_1666434161</dc:creator>
  <cp:lastModifiedBy>WPS_1666434161</cp:lastModifiedBy>
  <dcterms:modified xsi:type="dcterms:W3CDTF">2026-08-26T09:21:17Z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FABA564198EE4C9D8A19402306C0389C_11</vt:lpwstr>
  </property>
  <property fmtid="{D5CDD505-2E9C-101B-9397-08002B2CF9AE}" pid="4" name="KSOTemplateDocerSaveRecord">
    <vt:lpwstr>eyJoZGlkIjoiY2MzNTQ0OTMzYjBhZmQzZDZjN2I1NzcyMmY2ZjBlODkiLCJ1c2VySWQiOiIxNDI1ODQxODQyIn0=</vt:lpwstr>
  </property>
</Properties>
</file>